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39" w:rsidRDefault="00FA4739" w:rsidP="00FA4739">
      <w:pPr>
        <w:spacing w:line="480" w:lineRule="exact"/>
        <w:rPr>
          <w:rFonts w:ascii="宋体" w:hAnsi="宋体" w:cs="黑体"/>
          <w:color w:val="000000"/>
          <w:kern w:val="0"/>
          <w:sz w:val="28"/>
          <w:szCs w:val="28"/>
        </w:rPr>
      </w:pPr>
    </w:p>
    <w:p w:rsidR="00FA4739" w:rsidRDefault="00FA4739" w:rsidP="00FA4739">
      <w:pPr>
        <w:spacing w:line="480" w:lineRule="exact"/>
        <w:rPr>
          <w:rFonts w:ascii="宋体" w:hAnsi="宋体" w:cs="黑体"/>
          <w:color w:val="000000"/>
          <w:kern w:val="0"/>
          <w:sz w:val="28"/>
          <w:szCs w:val="28"/>
        </w:rPr>
      </w:pPr>
    </w:p>
    <w:p w:rsidR="00FA4739" w:rsidRPr="008033E7" w:rsidRDefault="00FA4739" w:rsidP="00FA4739">
      <w:pPr>
        <w:spacing w:line="480" w:lineRule="exact"/>
        <w:rPr>
          <w:rFonts w:ascii="宋体" w:hAnsi="宋体" w:cs="黑体"/>
          <w:color w:val="000000"/>
          <w:kern w:val="0"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495300</wp:posOffset>
            </wp:positionV>
            <wp:extent cx="723900" cy="723900"/>
            <wp:effectExtent l="0" t="0" r="0" b="0"/>
            <wp:wrapSquare wrapText="bothSides"/>
            <wp:docPr id="1" name="图片 2" descr="备份安徽财经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备份安徽财经大学"/>
                    <pic:cNvPicPr>
                      <a:picLocks noChangeAspect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453390</wp:posOffset>
            </wp:positionV>
            <wp:extent cx="3429000" cy="854710"/>
            <wp:effectExtent l="0" t="0" r="0" b="2540"/>
            <wp:wrapSquare wrapText="bothSides"/>
            <wp:docPr id="2" name="图片 3" descr="安徽财经大学(黑的)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安徽财经大学(黑的)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FA4739" w:rsidRDefault="00FA4739" w:rsidP="00FA4739">
      <w:pPr>
        <w:jc w:val="center"/>
        <w:rPr>
          <w:rFonts w:ascii="楷体_GB2312" w:eastAsia="楷体_GB2312" w:cs="楷体_GB2312"/>
          <w:bCs/>
          <w:sz w:val="52"/>
          <w:szCs w:val="52"/>
        </w:rPr>
      </w:pPr>
    </w:p>
    <w:p w:rsidR="00FA4739" w:rsidRDefault="00FA4739" w:rsidP="00FA4739">
      <w:pPr>
        <w:tabs>
          <w:tab w:val="left" w:pos="6010"/>
        </w:tabs>
        <w:jc w:val="left"/>
        <w:rPr>
          <w:rFonts w:ascii="楷体_GB2312" w:eastAsia="楷体_GB2312" w:cs="楷体_GB2312"/>
          <w:bCs/>
          <w:sz w:val="52"/>
          <w:szCs w:val="52"/>
        </w:rPr>
      </w:pPr>
      <w:r>
        <w:rPr>
          <w:rFonts w:ascii="楷体_GB2312" w:eastAsia="楷体_GB2312" w:cs="楷体_GB2312" w:hint="eastAsia"/>
          <w:bCs/>
          <w:sz w:val="52"/>
          <w:szCs w:val="52"/>
        </w:rPr>
        <w:tab/>
      </w:r>
    </w:p>
    <w:p w:rsidR="00FA4739" w:rsidRPr="008033E7" w:rsidRDefault="00FA4739" w:rsidP="00FA4739">
      <w:pPr>
        <w:tabs>
          <w:tab w:val="left" w:pos="6010"/>
        </w:tabs>
        <w:jc w:val="center"/>
        <w:rPr>
          <w:rFonts w:ascii="楷体_GB2312" w:eastAsia="楷体_GB2312" w:cs="楷体_GB2312"/>
          <w:bCs/>
          <w:sz w:val="52"/>
          <w:szCs w:val="52"/>
        </w:rPr>
      </w:pPr>
      <w:r>
        <w:rPr>
          <w:rFonts w:ascii="楷体_GB2312" w:eastAsia="楷体_GB2312" w:cs="楷体_GB2312" w:hint="eastAsia"/>
          <w:bCs/>
          <w:sz w:val="52"/>
          <w:szCs w:val="52"/>
        </w:rPr>
        <w:t xml:space="preserve">    </w:t>
      </w:r>
      <w:r>
        <w:rPr>
          <w:rFonts w:ascii="黑体" w:eastAsia="黑体" w:hAnsi="Times New Roman" w:cs="黑体" w:hint="eastAsia"/>
          <w:bCs/>
          <w:sz w:val="52"/>
          <w:szCs w:val="52"/>
        </w:rPr>
        <w:t>本 科 毕 业 论 文</w:t>
      </w:r>
    </w:p>
    <w:p w:rsidR="00FA4739" w:rsidRDefault="00FA4739" w:rsidP="00FA4739">
      <w:pPr>
        <w:jc w:val="center"/>
        <w:rPr>
          <w:rFonts w:ascii="楷体_GB2312" w:eastAsia="楷体_GB2312" w:cs="楷体_GB2312"/>
          <w:bCs/>
          <w:sz w:val="52"/>
          <w:szCs w:val="52"/>
        </w:rPr>
      </w:pPr>
    </w:p>
    <w:p w:rsidR="00FA4739" w:rsidRDefault="00FA4739" w:rsidP="00FA4739">
      <w:pPr>
        <w:jc w:val="center"/>
        <w:rPr>
          <w:rFonts w:ascii="楷体_GB2312" w:eastAsia="楷体_GB2312" w:cs="楷体_GB2312"/>
          <w:bCs/>
          <w:sz w:val="52"/>
          <w:szCs w:val="52"/>
        </w:rPr>
      </w:pPr>
    </w:p>
    <w:p w:rsidR="00FA4739" w:rsidRDefault="00FA4739" w:rsidP="00FA4739">
      <w:pPr>
        <w:jc w:val="center"/>
        <w:rPr>
          <w:rFonts w:ascii="楷体_GB2312" w:eastAsia="楷体_GB2312" w:cs="楷体_GB2312"/>
          <w:bCs/>
          <w:sz w:val="52"/>
          <w:szCs w:val="52"/>
        </w:rPr>
      </w:pPr>
    </w:p>
    <w:p w:rsidR="00FA4739" w:rsidRDefault="00FA4739" w:rsidP="00FA4739">
      <w:pPr>
        <w:tabs>
          <w:tab w:val="left" w:pos="7020"/>
        </w:tabs>
        <w:autoSpaceDE w:val="0"/>
        <w:autoSpaceDN w:val="0"/>
        <w:adjustRightInd w:val="0"/>
        <w:spacing w:line="800" w:lineRule="exact"/>
        <w:ind w:rightChars="755" w:right="1585" w:firstLineChars="455" w:firstLine="1274"/>
        <w:rPr>
          <w:rFonts w:ascii="宋体" w:hAnsi="宋体" w:cs="楷体_GB2312"/>
          <w:kern w:val="0"/>
          <w:sz w:val="28"/>
          <w:szCs w:val="28"/>
        </w:rPr>
      </w:pPr>
      <w:r>
        <w:rPr>
          <w:rFonts w:ascii="宋体" w:hAnsi="宋体" w:cs="楷体_GB2312" w:hint="eastAsia"/>
          <w:kern w:val="0"/>
          <w:sz w:val="28"/>
          <w:szCs w:val="28"/>
        </w:rPr>
        <w:t xml:space="preserve">  论文题目：</w:t>
      </w:r>
      <w:r>
        <w:rPr>
          <w:rFonts w:ascii="宋体" w:hAnsi="宋体" w:cs="楷体_GB2312" w:hint="eastAsia"/>
          <w:kern w:val="0"/>
          <w:sz w:val="28"/>
          <w:szCs w:val="28"/>
          <w:u w:val="single"/>
        </w:rPr>
        <w:t xml:space="preserve">                             </w:t>
      </w:r>
    </w:p>
    <w:p w:rsidR="00FA4739" w:rsidRDefault="00FA4739" w:rsidP="00FA4739">
      <w:pPr>
        <w:tabs>
          <w:tab w:val="left" w:pos="7020"/>
        </w:tabs>
        <w:autoSpaceDE w:val="0"/>
        <w:autoSpaceDN w:val="0"/>
        <w:adjustRightInd w:val="0"/>
        <w:spacing w:line="800" w:lineRule="exact"/>
        <w:ind w:rightChars="755" w:right="1585" w:firstLineChars="455" w:firstLine="1274"/>
        <w:rPr>
          <w:rFonts w:ascii="宋体" w:hAnsi="宋体" w:cs="楷体_GB2312"/>
          <w:kern w:val="0"/>
          <w:sz w:val="28"/>
          <w:szCs w:val="28"/>
        </w:rPr>
      </w:pPr>
      <w:r>
        <w:rPr>
          <w:rFonts w:ascii="宋体" w:hAnsi="宋体" w:cs="楷体_GB2312" w:hint="eastAsia"/>
          <w:kern w:val="0"/>
          <w:sz w:val="28"/>
          <w:szCs w:val="28"/>
        </w:rPr>
        <w:t xml:space="preserve">  学生学号：</w:t>
      </w:r>
      <w:r>
        <w:rPr>
          <w:rFonts w:ascii="宋体" w:hAnsi="宋体" w:cs="楷体_GB2312" w:hint="eastAsia"/>
          <w:kern w:val="0"/>
          <w:sz w:val="28"/>
          <w:szCs w:val="28"/>
          <w:u w:val="single"/>
        </w:rPr>
        <w:t xml:space="preserve">                             </w:t>
      </w:r>
    </w:p>
    <w:p w:rsidR="00FA4739" w:rsidRDefault="00FA4739" w:rsidP="00FA4739">
      <w:pPr>
        <w:tabs>
          <w:tab w:val="left" w:pos="7020"/>
        </w:tabs>
        <w:autoSpaceDE w:val="0"/>
        <w:autoSpaceDN w:val="0"/>
        <w:adjustRightInd w:val="0"/>
        <w:spacing w:line="800" w:lineRule="exact"/>
        <w:ind w:rightChars="755" w:right="1585" w:firstLineChars="455" w:firstLine="1274"/>
        <w:rPr>
          <w:rFonts w:ascii="宋体" w:hAnsi="宋体" w:cs="楷体_GB2312"/>
          <w:kern w:val="0"/>
          <w:sz w:val="28"/>
          <w:szCs w:val="28"/>
          <w:u w:val="single"/>
        </w:rPr>
      </w:pPr>
      <w:r>
        <w:rPr>
          <w:rFonts w:ascii="宋体" w:hAnsi="宋体" w:cs="楷体_GB2312" w:hint="eastAsia"/>
          <w:kern w:val="0"/>
          <w:sz w:val="28"/>
          <w:szCs w:val="28"/>
        </w:rPr>
        <w:t xml:space="preserve">  学生姓名：</w:t>
      </w:r>
      <w:r>
        <w:rPr>
          <w:rFonts w:ascii="宋体" w:hAnsi="宋体" w:cs="楷体_GB2312" w:hint="eastAsia"/>
          <w:kern w:val="0"/>
          <w:sz w:val="28"/>
          <w:szCs w:val="28"/>
          <w:u w:val="single"/>
        </w:rPr>
        <w:t xml:space="preserve">                             </w:t>
      </w:r>
    </w:p>
    <w:p w:rsidR="00FA4739" w:rsidRDefault="00FA4739" w:rsidP="00FA4739">
      <w:pPr>
        <w:autoSpaceDE w:val="0"/>
        <w:autoSpaceDN w:val="0"/>
        <w:adjustRightInd w:val="0"/>
        <w:spacing w:line="800" w:lineRule="exact"/>
        <w:ind w:rightChars="755" w:right="1585" w:firstLineChars="455" w:firstLine="1274"/>
        <w:rPr>
          <w:rFonts w:ascii="宋体" w:hAnsi="宋体" w:cs="楷体_GB2312"/>
          <w:kern w:val="0"/>
          <w:sz w:val="28"/>
          <w:szCs w:val="28"/>
        </w:rPr>
      </w:pPr>
      <w:r>
        <w:rPr>
          <w:rFonts w:ascii="宋体" w:hAnsi="宋体" w:cs="楷体_GB2312" w:hint="eastAsia"/>
          <w:kern w:val="0"/>
          <w:sz w:val="28"/>
          <w:szCs w:val="28"/>
        </w:rPr>
        <w:t xml:space="preserve">  班    级：</w:t>
      </w:r>
      <w:r>
        <w:rPr>
          <w:rFonts w:ascii="宋体" w:hAnsi="宋体" w:cs="楷体_GB2312" w:hint="eastAsia"/>
          <w:kern w:val="0"/>
          <w:sz w:val="28"/>
          <w:szCs w:val="28"/>
          <w:u w:val="single"/>
        </w:rPr>
        <w:t xml:space="preserve">                             </w:t>
      </w:r>
    </w:p>
    <w:p w:rsidR="00FA4739" w:rsidRDefault="00FA4739" w:rsidP="00FA4739">
      <w:pPr>
        <w:autoSpaceDE w:val="0"/>
        <w:autoSpaceDN w:val="0"/>
        <w:adjustRightInd w:val="0"/>
        <w:spacing w:line="800" w:lineRule="exact"/>
        <w:ind w:rightChars="755" w:right="1585" w:firstLineChars="455" w:firstLine="1274"/>
        <w:rPr>
          <w:rFonts w:ascii="宋体" w:hAnsi="宋体" w:cs="楷体_GB2312"/>
          <w:kern w:val="0"/>
          <w:sz w:val="28"/>
          <w:szCs w:val="28"/>
          <w:u w:val="single"/>
        </w:rPr>
      </w:pPr>
      <w:r>
        <w:rPr>
          <w:rFonts w:ascii="宋体" w:hAnsi="宋体" w:cs="楷体_GB2312" w:hint="eastAsia"/>
          <w:kern w:val="0"/>
          <w:sz w:val="28"/>
          <w:szCs w:val="28"/>
        </w:rPr>
        <w:t xml:space="preserve">  指导教师：</w:t>
      </w:r>
      <w:r>
        <w:rPr>
          <w:rFonts w:ascii="宋体" w:hAnsi="宋体" w:cs="楷体_GB2312" w:hint="eastAsia"/>
          <w:kern w:val="0"/>
          <w:sz w:val="28"/>
          <w:szCs w:val="28"/>
          <w:u w:val="single"/>
        </w:rPr>
        <w:t xml:space="preserve">                             </w:t>
      </w:r>
    </w:p>
    <w:p w:rsidR="00FA4739" w:rsidRDefault="00FA4739" w:rsidP="00FA4739">
      <w:pPr>
        <w:pStyle w:val="1"/>
        <w:widowControl/>
        <w:tabs>
          <w:tab w:val="right" w:leader="dot" w:pos="8296"/>
        </w:tabs>
      </w:pPr>
    </w:p>
    <w:p w:rsidR="00FA4739" w:rsidRDefault="00FA4739" w:rsidP="00FA4739"/>
    <w:p w:rsidR="00FA4739" w:rsidRDefault="00FA4739" w:rsidP="00FA4739"/>
    <w:p w:rsidR="00FA4739" w:rsidRDefault="00FA4739" w:rsidP="00FA4739"/>
    <w:p w:rsidR="00FA4739" w:rsidRDefault="00FA4739" w:rsidP="00FA4739"/>
    <w:p w:rsidR="00FA4739" w:rsidRDefault="00FA4739" w:rsidP="00FA4739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 w:rsidR="003F4AF3">
        <w:rPr>
          <w:rFonts w:ascii="黑体" w:eastAsia="黑体" w:hAnsi="黑体" w:cs="黑体" w:hint="eastAsia"/>
          <w:sz w:val="32"/>
          <w:szCs w:val="32"/>
        </w:rPr>
        <w:t>二〇一九</w:t>
      </w:r>
      <w:r>
        <w:rPr>
          <w:rFonts w:ascii="黑体" w:eastAsia="黑体" w:hAnsi="黑体" w:cs="黑体" w:hint="eastAsia"/>
          <w:sz w:val="32"/>
          <w:szCs w:val="32"/>
        </w:rPr>
        <w:t>年五月</w:t>
      </w:r>
    </w:p>
    <w:p w:rsidR="00FA4739" w:rsidRDefault="00FA4739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FA4739" w:rsidRDefault="00FA4739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（空一行）</w:t>
      </w:r>
    </w:p>
    <w:p w:rsidR="009552A9" w:rsidRPr="00FA4739" w:rsidRDefault="00FA4739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论文题目</w:t>
      </w:r>
      <w:r w:rsidRPr="00FA4739">
        <w:rPr>
          <w:rFonts w:ascii="黑体" w:eastAsia="黑体" w:hAnsi="黑体" w:cs="黑体" w:hint="eastAsia"/>
          <w:b/>
          <w:bCs/>
          <w:sz w:val="32"/>
          <w:szCs w:val="32"/>
        </w:rPr>
        <w:t>（黑体三号，加粗，居中）</w:t>
      </w:r>
    </w:p>
    <w:p w:rsidR="009552A9" w:rsidRDefault="00FA4739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题目英译（</w:t>
      </w:r>
      <w:r>
        <w:rPr>
          <w:rFonts w:ascii="Times New Roman" w:eastAsia="黑体" w:hAnsi="Times New Roman" w:hint="eastAsia"/>
          <w:b/>
          <w:bCs/>
          <w:sz w:val="32"/>
          <w:szCs w:val="32"/>
        </w:rPr>
        <w:t>Times New Roman</w:t>
      </w:r>
      <w:r>
        <w:rPr>
          <w:rFonts w:ascii="Times New Roman" w:eastAsia="黑体" w:hAnsi="Times New Roman" w:hint="eastAsia"/>
          <w:b/>
          <w:bCs/>
          <w:sz w:val="32"/>
          <w:szCs w:val="32"/>
        </w:rPr>
        <w:t>，三号，加粗，居中）</w:t>
      </w:r>
    </w:p>
    <w:p w:rsidR="009552A9" w:rsidRDefault="00FA4739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（空一行）</w:t>
      </w:r>
    </w:p>
    <w:p w:rsidR="009552A9" w:rsidRDefault="00FA4739">
      <w:pPr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李某某（宋体小四）</w:t>
      </w:r>
    </w:p>
    <w:p w:rsidR="009552A9" w:rsidRDefault="009552A9">
      <w:pPr>
        <w:jc w:val="center"/>
        <w:rPr>
          <w:rFonts w:ascii="宋体" w:hAnsi="宋体" w:cs="宋体"/>
          <w:sz w:val="24"/>
        </w:rPr>
      </w:pPr>
    </w:p>
    <w:p w:rsidR="00FA4739" w:rsidRPr="00FA4739" w:rsidRDefault="00FA4739" w:rsidP="00FA4739">
      <w:pPr>
        <w:jc w:val="center"/>
        <w:rPr>
          <w:rFonts w:ascii="仿宋" w:eastAsia="仿宋" w:hAnsi="仿宋" w:cs="仿宋"/>
          <w:sz w:val="24"/>
        </w:rPr>
      </w:pPr>
      <w:r w:rsidRPr="00FA4739">
        <w:rPr>
          <w:rFonts w:ascii="仿宋" w:eastAsia="仿宋" w:hAnsi="仿宋" w:cs="仿宋" w:hint="eastAsia"/>
          <w:sz w:val="24"/>
        </w:rPr>
        <w:t>班级：法学00（1）（空两格）  学号：200031035（仿宋小四）</w:t>
      </w:r>
    </w:p>
    <w:p w:rsidR="00CD6BE8" w:rsidRDefault="00FA4739" w:rsidP="00CD6BE8">
      <w:pPr>
        <w:jc w:val="center"/>
        <w:rPr>
          <w:rFonts w:asciiTheme="minorEastAsia" w:eastAsiaTheme="minorEastAsia" w:hAnsiTheme="minorEastAsia" w:cs="仿宋"/>
          <w:b/>
          <w:szCs w:val="21"/>
        </w:rPr>
      </w:pPr>
      <w:r w:rsidRPr="00FA4739">
        <w:rPr>
          <w:rFonts w:ascii="仿宋" w:eastAsia="仿宋" w:hAnsi="仿宋" w:cs="仿宋" w:hint="eastAsia"/>
          <w:sz w:val="24"/>
        </w:rPr>
        <w:t>（空两行）</w:t>
      </w:r>
    </w:p>
    <w:p w:rsidR="009552A9" w:rsidRDefault="004F2EDB">
      <w:pPr>
        <w:tabs>
          <w:tab w:val="left" w:pos="2347"/>
        </w:tabs>
        <w:ind w:firstLine="48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内容摘要：</w:t>
      </w:r>
      <w:r w:rsidR="00CD6BE8" w:rsidRPr="00FA4739">
        <w:rPr>
          <w:rFonts w:asciiTheme="minorEastAsia" w:eastAsiaTheme="minorEastAsia" w:hAnsiTheme="minorEastAsia" w:cs="仿宋" w:hint="eastAsia"/>
          <w:szCs w:val="21"/>
        </w:rPr>
        <w:t>（缩进两字，</w:t>
      </w:r>
      <w:r w:rsidR="00CD6BE8">
        <w:rPr>
          <w:rFonts w:asciiTheme="minorEastAsia" w:eastAsiaTheme="minorEastAsia" w:hAnsiTheme="minorEastAsia" w:cs="仿宋" w:hint="eastAsia"/>
          <w:szCs w:val="21"/>
        </w:rPr>
        <w:t>宋体五号，加粗）</w:t>
      </w:r>
      <w:r>
        <w:rPr>
          <w:rFonts w:ascii="宋体" w:hAnsi="宋体" w:cs="宋体" w:hint="eastAsia"/>
          <w:szCs w:val="21"/>
        </w:rPr>
        <w:t>随着我国开始逐步确立行政公益诉讼制度，</w:t>
      </w:r>
      <w:r w:rsidR="00CD6BE8" w:rsidRPr="00CD6BE8">
        <w:rPr>
          <w:rFonts w:ascii="宋体" w:hAnsi="宋体" w:cs="宋体" w:hint="eastAsia"/>
          <w:szCs w:val="21"/>
        </w:rPr>
        <w:t>……（宋体五号，单倍行距）</w:t>
      </w:r>
    </w:p>
    <w:p w:rsidR="009552A9" w:rsidRDefault="00CD6BE8">
      <w:pPr>
        <w:tabs>
          <w:tab w:val="left" w:pos="2347"/>
        </w:tabs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关键词</w:t>
      </w:r>
      <w:r w:rsidR="004F2EDB">
        <w:rPr>
          <w:rFonts w:ascii="宋体" w:hAnsi="宋体" w:cs="宋体" w:hint="eastAsia"/>
          <w:b/>
          <w:bCs/>
          <w:szCs w:val="21"/>
        </w:rPr>
        <w:t>:</w:t>
      </w:r>
      <w:r w:rsidRPr="00CD6BE8">
        <w:rPr>
          <w:rFonts w:asciiTheme="minorEastAsia" w:eastAsiaTheme="minorEastAsia" w:hAnsiTheme="minorEastAsia" w:cs="仿宋" w:hint="eastAsia"/>
          <w:szCs w:val="21"/>
        </w:rPr>
        <w:t xml:space="preserve"> </w:t>
      </w:r>
      <w:r w:rsidRPr="00FA4739">
        <w:rPr>
          <w:rFonts w:asciiTheme="minorEastAsia" w:eastAsiaTheme="minorEastAsia" w:hAnsiTheme="minorEastAsia" w:cs="仿宋" w:hint="eastAsia"/>
          <w:szCs w:val="21"/>
        </w:rPr>
        <w:t>（缩进两字，</w:t>
      </w:r>
      <w:r>
        <w:rPr>
          <w:rFonts w:asciiTheme="minorEastAsia" w:eastAsiaTheme="minorEastAsia" w:hAnsiTheme="minorEastAsia" w:cs="仿宋" w:hint="eastAsia"/>
          <w:szCs w:val="21"/>
        </w:rPr>
        <w:t>宋体五号，加粗）</w:t>
      </w:r>
      <w:r w:rsidR="004F2EDB">
        <w:rPr>
          <w:rFonts w:ascii="宋体" w:hAnsi="宋体" w:cs="宋体" w:hint="eastAsia"/>
          <w:szCs w:val="21"/>
        </w:rPr>
        <w:t>行政公益诉讼</w:t>
      </w:r>
      <w:r>
        <w:rPr>
          <w:rFonts w:ascii="宋体" w:hAnsi="宋体" w:cs="宋体" w:hint="eastAsia"/>
          <w:szCs w:val="21"/>
        </w:rPr>
        <w:t>；举证责任（各词之间分号隔开）</w:t>
      </w:r>
    </w:p>
    <w:p w:rsidR="009552A9" w:rsidRPr="00CD6BE8" w:rsidRDefault="00CD6BE8" w:rsidP="00CD6BE8">
      <w:pPr>
        <w:rPr>
          <w:rFonts w:asciiTheme="minorEastAsia" w:eastAsiaTheme="minorEastAsia" w:hAnsiTheme="minorEastAsia" w:cs="仿宋"/>
          <w:szCs w:val="21"/>
        </w:rPr>
      </w:pPr>
      <w:r>
        <w:rPr>
          <w:rFonts w:ascii="Times New Roman" w:hAnsi="Times New Roman" w:hint="eastAsia"/>
          <w:b/>
          <w:bCs/>
          <w:kern w:val="0"/>
          <w:szCs w:val="21"/>
          <w:shd w:val="clear" w:color="auto" w:fill="FFFFFF"/>
        </w:rPr>
        <w:t xml:space="preserve">    </w:t>
      </w:r>
      <w:r w:rsidR="004F2EDB">
        <w:rPr>
          <w:rFonts w:ascii="Times New Roman" w:hAnsi="Times New Roman"/>
          <w:b/>
          <w:bCs/>
          <w:kern w:val="0"/>
          <w:szCs w:val="21"/>
          <w:shd w:val="clear" w:color="auto" w:fill="FFFFFF"/>
        </w:rPr>
        <w:t>Abstract</w:t>
      </w:r>
      <w:r w:rsidR="004F2EDB">
        <w:rPr>
          <w:rFonts w:ascii="Times New Roman" w:hAnsi="Times New Roman"/>
          <w:b/>
          <w:bCs/>
          <w:kern w:val="0"/>
          <w:szCs w:val="21"/>
          <w:shd w:val="clear" w:color="auto" w:fill="FFFFFF"/>
        </w:rPr>
        <w:t>：</w:t>
      </w:r>
      <w:r w:rsidRPr="00FA4739">
        <w:rPr>
          <w:rFonts w:asciiTheme="minorEastAsia" w:eastAsiaTheme="minorEastAsia" w:hAnsiTheme="minorEastAsia" w:cs="仿宋" w:hint="eastAsia"/>
          <w:szCs w:val="21"/>
        </w:rPr>
        <w:t>（缩进两字，</w:t>
      </w:r>
      <w:r w:rsidRPr="00CD6BE8">
        <w:rPr>
          <w:rFonts w:ascii="Times New Roman" w:eastAsiaTheme="minorEastAsia" w:hAnsi="Times New Roman"/>
          <w:szCs w:val="21"/>
        </w:rPr>
        <w:t>Times New Roman</w:t>
      </w:r>
      <w:r w:rsidRPr="00CD6BE8">
        <w:rPr>
          <w:rFonts w:ascii="Times New Roman" w:eastAsiaTheme="minorEastAsia" w:hAnsiTheme="minorEastAsia"/>
          <w:szCs w:val="21"/>
        </w:rPr>
        <w:t>，</w:t>
      </w:r>
      <w:r>
        <w:rPr>
          <w:rFonts w:asciiTheme="minorEastAsia" w:eastAsiaTheme="minorEastAsia" w:hAnsiTheme="minorEastAsia" w:cs="仿宋" w:hint="eastAsia"/>
          <w:szCs w:val="21"/>
        </w:rPr>
        <w:t>五号,</w:t>
      </w:r>
      <w:r w:rsidRPr="00FA4739">
        <w:rPr>
          <w:rFonts w:asciiTheme="minorEastAsia" w:eastAsiaTheme="minorEastAsia" w:hAnsiTheme="minorEastAsia" w:cs="仿宋" w:hint="eastAsia"/>
          <w:szCs w:val="21"/>
        </w:rPr>
        <w:t>加粗，单倍行距）</w:t>
      </w:r>
      <w:r w:rsidR="004F2EDB">
        <w:rPr>
          <w:rFonts w:ascii="Times New Roman" w:hAnsi="Times New Roman"/>
          <w:kern w:val="0"/>
          <w:szCs w:val="21"/>
          <w:shd w:val="clear" w:color="auto" w:fill="FFFFFF"/>
        </w:rPr>
        <w:t xml:space="preserve">With the formal establishment of the administrative public interest litigation system in China, </w:t>
      </w:r>
      <w:r w:rsidRPr="00FA4739">
        <w:rPr>
          <w:rFonts w:asciiTheme="minorEastAsia" w:eastAsiaTheme="minorEastAsia" w:hAnsiTheme="minorEastAsia" w:cs="仿宋" w:hint="eastAsia"/>
          <w:szCs w:val="21"/>
        </w:rPr>
        <w:t>（缩进两字，</w:t>
      </w:r>
      <w:r w:rsidRPr="00CD6BE8">
        <w:rPr>
          <w:rFonts w:ascii="Times New Roman" w:eastAsiaTheme="minorEastAsia" w:hAnsi="Times New Roman"/>
          <w:szCs w:val="21"/>
        </w:rPr>
        <w:t>Times New Roman</w:t>
      </w:r>
      <w:r w:rsidRPr="00CD6BE8">
        <w:rPr>
          <w:rFonts w:ascii="Times New Roman" w:eastAsiaTheme="minorEastAsia" w:hAnsiTheme="minorEastAsia"/>
          <w:szCs w:val="21"/>
        </w:rPr>
        <w:t>，</w:t>
      </w:r>
      <w:r>
        <w:rPr>
          <w:rFonts w:asciiTheme="minorEastAsia" w:eastAsiaTheme="minorEastAsia" w:hAnsiTheme="minorEastAsia" w:cs="仿宋" w:hint="eastAsia"/>
          <w:szCs w:val="21"/>
        </w:rPr>
        <w:t>五号,</w:t>
      </w:r>
      <w:r w:rsidRPr="00FA4739">
        <w:rPr>
          <w:rFonts w:asciiTheme="minorEastAsia" w:eastAsiaTheme="minorEastAsia" w:hAnsiTheme="minorEastAsia" w:cs="仿宋" w:hint="eastAsia"/>
          <w:szCs w:val="21"/>
        </w:rPr>
        <w:t>单倍行距）</w:t>
      </w:r>
    </w:p>
    <w:p w:rsidR="0028336F" w:rsidRPr="003F4AF3" w:rsidRDefault="004F2EDB" w:rsidP="003F4AF3">
      <w:pPr>
        <w:tabs>
          <w:tab w:val="left" w:pos="2347"/>
        </w:tabs>
        <w:ind w:firstLineChars="200" w:firstLine="422"/>
        <w:rPr>
          <w:rFonts w:asciiTheme="minorEastAsia" w:eastAsiaTheme="minorEastAsia" w:hAnsiTheme="minorEastAsia" w:cs="仿宋"/>
          <w:szCs w:val="21"/>
        </w:rPr>
      </w:pPr>
      <w:r>
        <w:rPr>
          <w:rFonts w:ascii="Times New Roman" w:hAnsi="Times New Roman"/>
          <w:b/>
          <w:bCs/>
          <w:kern w:val="0"/>
          <w:szCs w:val="21"/>
          <w:shd w:val="clear" w:color="auto" w:fill="FFFFFF"/>
        </w:rPr>
        <w:t xml:space="preserve">KeyWords: </w:t>
      </w:r>
      <w:r w:rsidR="00CD6BE8" w:rsidRPr="00FA4739">
        <w:rPr>
          <w:rFonts w:asciiTheme="minorEastAsia" w:eastAsiaTheme="minorEastAsia" w:hAnsiTheme="minorEastAsia" w:cs="仿宋" w:hint="eastAsia"/>
          <w:szCs w:val="21"/>
        </w:rPr>
        <w:t>（缩进两字，</w:t>
      </w:r>
      <w:r w:rsidR="00CD6BE8" w:rsidRPr="00CD6BE8">
        <w:rPr>
          <w:rFonts w:ascii="Times New Roman" w:eastAsiaTheme="minorEastAsia" w:hAnsi="Times New Roman"/>
          <w:szCs w:val="21"/>
        </w:rPr>
        <w:t>Times New Roman</w:t>
      </w:r>
      <w:r w:rsidR="00CD6BE8" w:rsidRPr="00CD6BE8">
        <w:rPr>
          <w:rFonts w:ascii="Times New Roman" w:eastAsiaTheme="minorEastAsia" w:hAnsiTheme="minorEastAsia"/>
          <w:szCs w:val="21"/>
        </w:rPr>
        <w:t>，</w:t>
      </w:r>
      <w:r w:rsidR="00CD6BE8">
        <w:rPr>
          <w:rFonts w:asciiTheme="minorEastAsia" w:eastAsiaTheme="minorEastAsia" w:hAnsiTheme="minorEastAsia" w:cs="仿宋" w:hint="eastAsia"/>
          <w:szCs w:val="21"/>
        </w:rPr>
        <w:t>五号,</w:t>
      </w:r>
      <w:r w:rsidR="00CD6BE8" w:rsidRPr="00FA4739">
        <w:rPr>
          <w:rFonts w:asciiTheme="minorEastAsia" w:eastAsiaTheme="minorEastAsia" w:hAnsiTheme="minorEastAsia" w:cs="仿宋" w:hint="eastAsia"/>
          <w:szCs w:val="21"/>
        </w:rPr>
        <w:t>加粗，单倍行距）</w:t>
      </w:r>
      <w:r>
        <w:rPr>
          <w:rFonts w:ascii="Times New Roman" w:hAnsi="Times New Roman"/>
          <w:kern w:val="0"/>
          <w:szCs w:val="21"/>
          <w:shd w:val="clear" w:color="auto" w:fill="FFFFFF"/>
        </w:rPr>
        <w:t>Administrative public interest litigation</w:t>
      </w:r>
      <w:r>
        <w:rPr>
          <w:rFonts w:ascii="Times New Roman" w:hAnsi="Times New Roman"/>
          <w:kern w:val="0"/>
          <w:szCs w:val="21"/>
          <w:shd w:val="clear" w:color="auto" w:fill="FFFFFF"/>
        </w:rPr>
        <w:t>；</w:t>
      </w:r>
      <w:r>
        <w:rPr>
          <w:rFonts w:ascii="Times New Roman" w:hAnsi="Times New Roman"/>
          <w:kern w:val="0"/>
          <w:szCs w:val="21"/>
          <w:shd w:val="clear" w:color="auto" w:fill="FFFFFF"/>
        </w:rPr>
        <w:t>Burden of persuasion</w:t>
      </w:r>
      <w:r w:rsidR="00CD6BE8" w:rsidRPr="00FA4739">
        <w:rPr>
          <w:rFonts w:asciiTheme="minorEastAsia" w:eastAsiaTheme="minorEastAsia" w:hAnsiTheme="minorEastAsia" w:cs="仿宋" w:hint="eastAsia"/>
          <w:szCs w:val="21"/>
        </w:rPr>
        <w:t>（</w:t>
      </w:r>
      <w:r w:rsidR="00CD6BE8" w:rsidRPr="00CD6BE8">
        <w:rPr>
          <w:rFonts w:ascii="Times New Roman" w:eastAsiaTheme="minorEastAsia" w:hAnsi="Times New Roman"/>
          <w:szCs w:val="21"/>
        </w:rPr>
        <w:t>Times New Roman</w:t>
      </w:r>
      <w:r w:rsidR="00CD6BE8" w:rsidRPr="00CD6BE8">
        <w:rPr>
          <w:rFonts w:ascii="Times New Roman" w:eastAsiaTheme="minorEastAsia" w:hAnsiTheme="minorEastAsia"/>
          <w:szCs w:val="21"/>
        </w:rPr>
        <w:t>，</w:t>
      </w:r>
      <w:r w:rsidR="00CD6BE8">
        <w:rPr>
          <w:rFonts w:asciiTheme="minorEastAsia" w:eastAsiaTheme="minorEastAsia" w:hAnsiTheme="minorEastAsia" w:cs="仿宋" w:hint="eastAsia"/>
          <w:szCs w:val="21"/>
        </w:rPr>
        <w:t>五号</w:t>
      </w:r>
      <w:r w:rsidR="00CD6BE8" w:rsidRPr="00FA4739">
        <w:rPr>
          <w:rFonts w:asciiTheme="minorEastAsia" w:eastAsiaTheme="minorEastAsia" w:hAnsiTheme="minorEastAsia" w:cs="仿宋" w:hint="eastAsia"/>
          <w:szCs w:val="21"/>
        </w:rPr>
        <w:t>，单倍行距</w:t>
      </w:r>
      <w:r w:rsidR="00CD6BE8">
        <w:rPr>
          <w:rFonts w:asciiTheme="minorEastAsia" w:eastAsiaTheme="minorEastAsia" w:hAnsiTheme="minorEastAsia" w:cs="仿宋" w:hint="eastAsia"/>
          <w:szCs w:val="21"/>
        </w:rPr>
        <w:t>,分号隔开</w:t>
      </w:r>
      <w:r w:rsidR="00CD6BE8" w:rsidRPr="00FA4739">
        <w:rPr>
          <w:rFonts w:asciiTheme="minorEastAsia" w:eastAsiaTheme="minorEastAsia" w:hAnsiTheme="minorEastAsia" w:cs="仿宋" w:hint="eastAsia"/>
          <w:szCs w:val="21"/>
        </w:rPr>
        <w:t>）</w:t>
      </w:r>
    </w:p>
    <w:p w:rsidR="009552A9" w:rsidRPr="0028336F" w:rsidRDefault="00BB4F79" w:rsidP="0028336F">
      <w:pPr>
        <w:tabs>
          <w:tab w:val="left" w:pos="2347"/>
        </w:tabs>
        <w:jc w:val="center"/>
        <w:rPr>
          <w:rFonts w:ascii="Times New Roman" w:hAnsi="Times New Roman"/>
          <w:color w:val="333333"/>
          <w:kern w:val="0"/>
          <w:sz w:val="24"/>
          <w:shd w:val="clear" w:color="auto" w:fill="FFFFFF"/>
        </w:rPr>
      </w:pPr>
      <w:r w:rsidRPr="0028336F"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（空两行，以下都是</w:t>
      </w:r>
      <w:r w:rsidRPr="0028336F"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1.5</w:t>
      </w:r>
      <w:r w:rsidRPr="0028336F">
        <w:rPr>
          <w:rFonts w:ascii="Times New Roman" w:hAnsi="Times New Roman" w:hint="eastAsia"/>
          <w:color w:val="333333"/>
          <w:kern w:val="0"/>
          <w:sz w:val="24"/>
          <w:shd w:val="clear" w:color="auto" w:fill="FFFFFF"/>
        </w:rPr>
        <w:t>倍行距）</w:t>
      </w:r>
    </w:p>
    <w:p w:rsidR="009552A9" w:rsidRDefault="004F2EDB">
      <w:pPr>
        <w:tabs>
          <w:tab w:val="left" w:pos="2347"/>
        </w:tabs>
        <w:spacing w:line="360" w:lineRule="auto"/>
        <w:ind w:firstLine="480"/>
        <w:jc w:val="center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0"/>
          <w:szCs w:val="30"/>
          <w:shd w:val="clear" w:color="auto" w:fill="FFFFFF"/>
        </w:rPr>
        <w:t>目 次</w:t>
      </w:r>
      <w:r w:rsidR="00CD6BE8" w:rsidRPr="00CD6BE8">
        <w:rPr>
          <w:rFonts w:ascii="仿宋" w:eastAsia="仿宋" w:hAnsi="仿宋" w:cs="仿宋" w:hint="eastAsia"/>
          <w:b/>
          <w:bCs/>
          <w:color w:val="333333"/>
          <w:kern w:val="0"/>
          <w:sz w:val="30"/>
          <w:szCs w:val="30"/>
          <w:shd w:val="clear" w:color="auto" w:fill="FFFFFF"/>
        </w:rPr>
        <w:t>（居中，仿宋小</w:t>
      </w:r>
      <w:r w:rsidR="003F4AF3">
        <w:rPr>
          <w:rFonts w:ascii="仿宋" w:eastAsia="仿宋" w:hAnsi="仿宋" w:cs="仿宋" w:hint="eastAsia"/>
          <w:b/>
          <w:bCs/>
          <w:color w:val="333333"/>
          <w:kern w:val="0"/>
          <w:sz w:val="30"/>
          <w:szCs w:val="30"/>
          <w:shd w:val="clear" w:color="auto" w:fill="FFFFFF"/>
        </w:rPr>
        <w:t>三</w:t>
      </w:r>
      <w:r w:rsidR="00CD6BE8" w:rsidRPr="00CD6BE8">
        <w:rPr>
          <w:rFonts w:ascii="仿宋" w:eastAsia="仿宋" w:hAnsi="仿宋" w:cs="仿宋" w:hint="eastAsia"/>
          <w:b/>
          <w:bCs/>
          <w:color w:val="333333"/>
          <w:kern w:val="0"/>
          <w:sz w:val="30"/>
          <w:szCs w:val="30"/>
          <w:shd w:val="clear" w:color="auto" w:fill="FFFFFF"/>
        </w:rPr>
        <w:t>号，加粗，字间空一格）</w:t>
      </w:r>
    </w:p>
    <w:p w:rsidR="009552A9" w:rsidRPr="0028336F" w:rsidRDefault="0028336F">
      <w:pPr>
        <w:tabs>
          <w:tab w:val="left" w:pos="2347"/>
          <w:tab w:val="left" w:pos="5179"/>
        </w:tabs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一、行政公益诉讼</w:t>
      </w:r>
      <w:r w:rsidRPr="0028336F">
        <w:rPr>
          <w:rFonts w:ascii="仿宋" w:eastAsia="仿宋" w:hAnsi="仿宋" w:cs="仿宋" w:hint="eastAsia"/>
          <w:kern w:val="0"/>
          <w:sz w:val="24"/>
          <w:shd w:val="clear" w:color="auto" w:fill="FFFFFF"/>
        </w:rPr>
        <w:t>（缩进两字，仿宋小</w:t>
      </w:r>
      <w:r w:rsidR="003F4AF3">
        <w:rPr>
          <w:rFonts w:ascii="仿宋" w:eastAsia="仿宋" w:hAnsi="仿宋" w:cs="仿宋" w:hint="eastAsia"/>
          <w:kern w:val="0"/>
          <w:sz w:val="24"/>
          <w:shd w:val="clear" w:color="auto" w:fill="FFFFFF"/>
        </w:rPr>
        <w:t>四</w:t>
      </w:r>
      <w:r w:rsidRPr="0028336F">
        <w:rPr>
          <w:rFonts w:ascii="仿宋" w:eastAsia="仿宋" w:hAnsi="仿宋" w:cs="仿宋" w:hint="eastAsia"/>
          <w:kern w:val="0"/>
          <w:sz w:val="24"/>
          <w:shd w:val="clear" w:color="auto" w:fill="FFFFFF"/>
        </w:rPr>
        <w:t>号）</w:t>
      </w:r>
    </w:p>
    <w:p w:rsidR="009552A9" w:rsidRDefault="004F2EDB">
      <w:pPr>
        <w:spacing w:line="360" w:lineRule="auto"/>
        <w:ind w:firstLineChars="200" w:firstLine="480"/>
        <w:rPr>
          <w:rFonts w:ascii="仿宋" w:eastAsia="仿宋" w:hAnsi="仿宋" w:cs="仿宋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二、</w:t>
      </w:r>
    </w:p>
    <w:p w:rsidR="009552A9" w:rsidRDefault="0028336F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三、</w:t>
      </w:r>
    </w:p>
    <w:p w:rsidR="009552A9" w:rsidRDefault="004F2EDB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kern w:val="0"/>
          <w:sz w:val="24"/>
          <w:shd w:val="clear" w:color="auto" w:fill="FFFFFF"/>
        </w:rPr>
        <w:t>四、</w:t>
      </w:r>
    </w:p>
    <w:p w:rsidR="009552A9" w:rsidRPr="0028336F" w:rsidRDefault="0028336F" w:rsidP="0028336F">
      <w:pPr>
        <w:tabs>
          <w:tab w:val="left" w:pos="2347"/>
          <w:tab w:val="left" w:pos="5179"/>
        </w:tabs>
        <w:ind w:firstLineChars="200" w:firstLine="480"/>
        <w:jc w:val="center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 w:rsidRPr="0028336F"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（空一行）</w:t>
      </w:r>
    </w:p>
    <w:p w:rsidR="0028336F" w:rsidRPr="0028336F" w:rsidRDefault="0028336F" w:rsidP="0028336F"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 一、行政公益诉讼举证责任（缩进两字，宋体四号，加粗</w:t>
      </w:r>
      <w:r w:rsidRPr="0028336F">
        <w:rPr>
          <w:rFonts w:ascii="宋体" w:hAnsi="宋体" w:cs="宋体" w:hint="eastAsia"/>
          <w:b/>
          <w:bCs/>
          <w:sz w:val="28"/>
          <w:szCs w:val="28"/>
        </w:rPr>
        <w:t>）</w:t>
      </w:r>
    </w:p>
    <w:p w:rsidR="009552A9" w:rsidRDefault="004F2EDB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（一）行政公益诉讼与举证责任的概念</w:t>
      </w:r>
      <w:r w:rsidR="0028336F">
        <w:rPr>
          <w:rFonts w:ascii="仿宋" w:eastAsia="仿宋" w:hAnsi="仿宋" w:cs="仿宋" w:hint="eastAsia"/>
          <w:sz w:val="24"/>
        </w:rPr>
        <w:t>（缩进两字，仿宋小四）</w:t>
      </w:r>
    </w:p>
    <w:p w:rsidR="0098688E" w:rsidRDefault="004F2EDB" w:rsidP="003F4AF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行政公益诉讼是指</w:t>
      </w:r>
      <w:r w:rsidR="0098688E">
        <w:rPr>
          <w:rFonts w:hint="eastAsia"/>
          <w:sz w:val="24"/>
        </w:rPr>
        <w:t>“</w:t>
      </w:r>
      <w:r w:rsidR="004E229D" w:rsidRPr="00CD6BE8">
        <w:rPr>
          <w:rFonts w:ascii="宋体" w:hAnsi="宋体" w:cs="宋体" w:hint="eastAsia"/>
          <w:szCs w:val="21"/>
        </w:rPr>
        <w:t>……</w:t>
      </w:r>
      <w:r w:rsidR="0098688E">
        <w:rPr>
          <w:rFonts w:ascii="宋体" w:hAnsi="宋体" w:cs="宋体" w:hint="eastAsia"/>
          <w:szCs w:val="21"/>
        </w:rPr>
        <w:t>”</w:t>
      </w:r>
      <w:r>
        <w:rPr>
          <w:rStyle w:val="a7"/>
          <w:rFonts w:ascii="宋体" w:hAnsi="宋体" w:cs="宋体" w:hint="eastAsia"/>
          <w:sz w:val="24"/>
        </w:rPr>
        <w:footnoteReference w:id="2"/>
      </w:r>
      <w:r w:rsidR="004E229D">
        <w:rPr>
          <w:rFonts w:hint="eastAsia"/>
          <w:sz w:val="24"/>
        </w:rPr>
        <w:t>。</w:t>
      </w:r>
    </w:p>
    <w:p w:rsidR="003F4AF3" w:rsidRDefault="004E229D" w:rsidP="003F4AF3">
      <w:pPr>
        <w:spacing w:line="360" w:lineRule="auto"/>
        <w:ind w:firstLineChars="200" w:firstLine="480"/>
        <w:rPr>
          <w:sz w:val="24"/>
        </w:rPr>
      </w:pPr>
      <w:r w:rsidRPr="004E229D">
        <w:rPr>
          <w:rFonts w:hint="eastAsia"/>
          <w:sz w:val="24"/>
        </w:rPr>
        <w:t>（</w:t>
      </w:r>
      <w:r w:rsidR="003F4AF3">
        <w:rPr>
          <w:rFonts w:hint="eastAsia"/>
          <w:sz w:val="24"/>
        </w:rPr>
        <w:t>正文每段</w:t>
      </w:r>
      <w:r w:rsidRPr="004E229D">
        <w:rPr>
          <w:rFonts w:hint="eastAsia"/>
          <w:sz w:val="24"/>
        </w:rPr>
        <w:t>缩进两字，宋小四，</w:t>
      </w:r>
      <w:r w:rsidRPr="004E229D">
        <w:rPr>
          <w:rFonts w:hint="eastAsia"/>
          <w:sz w:val="24"/>
        </w:rPr>
        <w:t>1.5</w:t>
      </w:r>
      <w:r w:rsidRPr="004E229D">
        <w:rPr>
          <w:rFonts w:hint="eastAsia"/>
          <w:sz w:val="24"/>
        </w:rPr>
        <w:t>倍行距</w:t>
      </w:r>
      <w:r w:rsidR="0098688E">
        <w:rPr>
          <w:rFonts w:hint="eastAsia"/>
          <w:sz w:val="24"/>
        </w:rPr>
        <w:t>；</w:t>
      </w:r>
      <w:r w:rsidR="002A77E4">
        <w:rPr>
          <w:rFonts w:hint="eastAsia"/>
          <w:sz w:val="24"/>
        </w:rPr>
        <w:t>脚注</w:t>
      </w:r>
      <w:r w:rsidR="003F4AF3">
        <w:rPr>
          <w:rFonts w:hint="eastAsia"/>
          <w:sz w:val="24"/>
        </w:rPr>
        <w:t>序号放在句末标点符号之前，每页重新编号</w:t>
      </w:r>
      <w:r w:rsidR="002A77E4">
        <w:rPr>
          <w:rFonts w:hint="eastAsia"/>
          <w:sz w:val="24"/>
        </w:rPr>
        <w:t>；直接引用时，正文要加引号，</w:t>
      </w:r>
      <w:r w:rsidR="0098688E">
        <w:rPr>
          <w:rFonts w:hint="eastAsia"/>
          <w:sz w:val="24"/>
        </w:rPr>
        <w:t>脚注不用“参见”二字</w:t>
      </w:r>
      <w:r w:rsidR="007D083E">
        <w:rPr>
          <w:rFonts w:hint="eastAsia"/>
          <w:sz w:val="24"/>
        </w:rPr>
        <w:t>；非直接引用，正文不加引号，脚注要用“参见”二字</w:t>
      </w:r>
      <w:r w:rsidR="00121D82">
        <w:rPr>
          <w:rFonts w:hint="eastAsia"/>
          <w:sz w:val="24"/>
        </w:rPr>
        <w:t>；脚注格式：《中华人民共和国国家标准</w:t>
      </w:r>
      <w:r w:rsidR="00121D82">
        <w:rPr>
          <w:rFonts w:hint="eastAsia"/>
          <w:sz w:val="24"/>
        </w:rPr>
        <w:t>GB/T 7714-2015</w:t>
      </w:r>
      <w:r w:rsidR="00121D82">
        <w:rPr>
          <w:rFonts w:hint="eastAsia"/>
          <w:sz w:val="24"/>
        </w:rPr>
        <w:t>》</w:t>
      </w:r>
      <w:r w:rsidR="003F4AF3">
        <w:rPr>
          <w:rFonts w:hint="eastAsia"/>
          <w:sz w:val="24"/>
        </w:rPr>
        <w:t>）</w:t>
      </w:r>
    </w:p>
    <w:p w:rsidR="0098688E" w:rsidRPr="007D083E" w:rsidRDefault="003F4AF3" w:rsidP="0098688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举证责任由两个重要关键因素组成：</w:t>
      </w:r>
      <w:r w:rsidR="0098688E" w:rsidRPr="00CD6BE8">
        <w:rPr>
          <w:rFonts w:ascii="宋体" w:hAnsi="宋体" w:cs="宋体" w:hint="eastAsia"/>
          <w:szCs w:val="21"/>
        </w:rPr>
        <w:t>……</w:t>
      </w:r>
      <w:r w:rsidR="004F2EDB">
        <w:rPr>
          <w:rStyle w:val="a7"/>
          <w:rFonts w:ascii="宋体" w:hAnsi="宋体" w:cs="宋体" w:hint="eastAsia"/>
          <w:sz w:val="24"/>
        </w:rPr>
        <w:footnoteReference w:id="3"/>
      </w:r>
      <w:r w:rsidR="007D083E">
        <w:rPr>
          <w:rFonts w:ascii="宋体" w:hAnsi="宋体" w:cs="宋体" w:hint="eastAsia"/>
          <w:szCs w:val="21"/>
        </w:rPr>
        <w:t>。</w:t>
      </w:r>
    </w:p>
    <w:p w:rsidR="0098688E" w:rsidRDefault="0098688E" w:rsidP="0098688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（间接引用时，正文不用引号，页底脚注需用“参见”二字）</w:t>
      </w:r>
    </w:p>
    <w:p w:rsidR="009552A9" w:rsidRDefault="004F2EDB" w:rsidP="0098688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举证责任的本质</w:t>
      </w:r>
      <w:r w:rsidR="0098688E">
        <w:rPr>
          <w:rFonts w:ascii="宋体" w:hAnsi="宋体" w:cs="宋体" w:hint="eastAsia"/>
          <w:sz w:val="24"/>
        </w:rPr>
        <w:t>在于</w:t>
      </w:r>
      <w:r w:rsidR="0098688E" w:rsidRPr="00CD6BE8">
        <w:rPr>
          <w:rFonts w:ascii="宋体" w:hAnsi="宋体" w:cs="宋体" w:hint="eastAsia"/>
          <w:szCs w:val="21"/>
        </w:rPr>
        <w:t>……</w:t>
      </w:r>
      <w:r>
        <w:rPr>
          <w:rStyle w:val="a7"/>
          <w:rFonts w:ascii="宋体" w:hAnsi="宋体" w:cs="宋体" w:hint="eastAsia"/>
          <w:sz w:val="24"/>
        </w:rPr>
        <w:footnoteReference w:id="4"/>
      </w:r>
      <w:r w:rsidR="0007319A">
        <w:rPr>
          <w:rFonts w:ascii="宋体" w:hAnsi="宋体" w:cs="宋体" w:hint="eastAsia"/>
          <w:szCs w:val="21"/>
        </w:rPr>
        <w:t>。</w:t>
      </w:r>
    </w:p>
    <w:p w:rsidR="005419B1" w:rsidRPr="0007319A" w:rsidRDefault="005419B1" w:rsidP="0098688E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行政公益诉讼适用于如下情形：</w:t>
      </w:r>
      <w:r w:rsidRPr="00CD6BE8">
        <w:rPr>
          <w:rFonts w:ascii="宋体" w:hAnsi="宋体" w:cs="宋体" w:hint="eastAsia"/>
          <w:szCs w:val="21"/>
        </w:rPr>
        <w:t>……</w:t>
      </w:r>
      <w:r>
        <w:rPr>
          <w:rStyle w:val="a7"/>
          <w:rFonts w:ascii="宋体" w:hAnsi="宋体" w:cs="宋体" w:hint="eastAsia"/>
          <w:sz w:val="24"/>
        </w:rPr>
        <w:footnoteReference w:id="5"/>
      </w:r>
      <w:r w:rsidR="0007319A">
        <w:rPr>
          <w:rFonts w:ascii="宋体" w:hAnsi="宋体" w:cs="宋体" w:hint="eastAsia"/>
          <w:szCs w:val="21"/>
        </w:rPr>
        <w:t>。</w:t>
      </w:r>
    </w:p>
    <w:p w:rsidR="005419B1" w:rsidRPr="0007319A" w:rsidRDefault="004F2ED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121D82">
        <w:rPr>
          <w:rFonts w:ascii="宋体" w:hAnsi="宋体" w:cs="宋体" w:hint="eastAsia"/>
          <w:sz w:val="24"/>
        </w:rPr>
        <w:t>检察机关在提起公益诉讼时</w:t>
      </w:r>
      <w:r w:rsidR="005419B1" w:rsidRPr="00121D82">
        <w:rPr>
          <w:rFonts w:ascii="宋体" w:hAnsi="宋体" w:cs="宋体" w:hint="eastAsia"/>
          <w:sz w:val="24"/>
        </w:rPr>
        <w:t>，……</w:t>
      </w:r>
      <w:r w:rsidRPr="00121D82">
        <w:rPr>
          <w:rStyle w:val="a7"/>
          <w:rFonts w:ascii="宋体" w:hAnsi="宋体" w:cs="宋体" w:hint="eastAsia"/>
          <w:sz w:val="24"/>
        </w:rPr>
        <w:footnoteReference w:id="6"/>
      </w:r>
      <w:r w:rsidR="0007319A">
        <w:rPr>
          <w:rFonts w:ascii="宋体" w:hAnsi="宋体" w:cs="宋体" w:hint="eastAsia"/>
          <w:sz w:val="24"/>
        </w:rPr>
        <w:t>。</w:t>
      </w:r>
    </w:p>
    <w:p w:rsidR="00121D82" w:rsidRPr="00121D82" w:rsidRDefault="00121D82" w:rsidP="00121D82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</w:p>
    <w:p w:rsidR="00121D82" w:rsidRPr="00121D82" w:rsidRDefault="00121D82" w:rsidP="00121D82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</w:p>
    <w:p w:rsidR="00121D82" w:rsidRPr="00121D82" w:rsidRDefault="00121D82" w:rsidP="00121D82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</w:p>
    <w:p w:rsidR="00121D82" w:rsidRDefault="00121D82" w:rsidP="00121D82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 w:rsidRPr="00121D82">
        <w:rPr>
          <w:rFonts w:ascii="宋体" w:hAnsi="宋体" w:cs="宋体" w:hint="eastAsia"/>
          <w:b/>
          <w:bCs/>
          <w:sz w:val="24"/>
        </w:rPr>
        <w:t>（正文结束后，空三行列出参考文献；如果正文接近页尾，可以另起一页列出参考文献）</w:t>
      </w:r>
    </w:p>
    <w:p w:rsidR="00121D82" w:rsidRPr="00121D82" w:rsidRDefault="00121D82" w:rsidP="00121D82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</w:p>
    <w:p w:rsidR="009552A9" w:rsidRPr="00121D82" w:rsidRDefault="004F2EDB" w:rsidP="00121D82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 w:rsidRPr="00121D82">
        <w:rPr>
          <w:rFonts w:ascii="宋体" w:hAnsi="宋体" w:cs="宋体" w:hint="eastAsia"/>
          <w:b/>
          <w:bCs/>
          <w:sz w:val="24"/>
        </w:rPr>
        <w:t>参考文献</w:t>
      </w:r>
    </w:p>
    <w:p w:rsidR="009552A9" w:rsidRPr="00121D82" w:rsidRDefault="004F2EDB" w:rsidP="00121D82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 w:rsidRPr="00121D82">
        <w:rPr>
          <w:rFonts w:ascii="宋体" w:hAnsi="宋体" w:cs="宋体" w:hint="eastAsia"/>
          <w:b/>
          <w:bCs/>
          <w:sz w:val="24"/>
        </w:rPr>
        <w:t>（1）专著类：</w:t>
      </w:r>
    </w:p>
    <w:p w:rsidR="009552A9" w:rsidRPr="00121D82" w:rsidRDefault="004F2EDB">
      <w:pPr>
        <w:spacing w:line="360" w:lineRule="auto"/>
        <w:ind w:firstLine="420"/>
        <w:rPr>
          <w:rFonts w:ascii="宋体" w:hAnsi="宋体" w:cs="宋体"/>
          <w:sz w:val="24"/>
        </w:rPr>
      </w:pPr>
      <w:r w:rsidRPr="00121D82">
        <w:rPr>
          <w:rFonts w:ascii="宋体" w:hAnsi="宋体" w:cs="宋体" w:hint="eastAsia"/>
          <w:sz w:val="24"/>
        </w:rPr>
        <w:t>[1]卞建林，谭世贵.证据法学[M].北京:中国政法大学出版社,2014.</w:t>
      </w:r>
    </w:p>
    <w:p w:rsidR="009552A9" w:rsidRPr="00121D82" w:rsidRDefault="004F2EDB">
      <w:pPr>
        <w:spacing w:line="360" w:lineRule="auto"/>
        <w:ind w:firstLine="420"/>
        <w:rPr>
          <w:rFonts w:ascii="宋体" w:hAnsi="宋体" w:cs="宋体"/>
          <w:sz w:val="24"/>
        </w:rPr>
      </w:pPr>
      <w:r w:rsidRPr="00121D82">
        <w:rPr>
          <w:rFonts w:ascii="宋体" w:hAnsi="宋体" w:cs="宋体" w:hint="eastAsia"/>
          <w:kern w:val="0"/>
          <w:sz w:val="24"/>
          <w:shd w:val="clear" w:color="auto" w:fill="FFFFFF"/>
        </w:rPr>
        <w:t>[2]</w:t>
      </w:r>
      <w:r w:rsidRPr="00121D82">
        <w:rPr>
          <w:rFonts w:ascii="宋体" w:hAnsi="宋体" w:cs="宋体" w:hint="eastAsia"/>
          <w:sz w:val="24"/>
        </w:rPr>
        <w:t>孙谦.检察理论综述[M].北京:中国检察出版社,1995.</w:t>
      </w:r>
    </w:p>
    <w:p w:rsidR="009552A9" w:rsidRPr="00121D82" w:rsidRDefault="004F2EDB" w:rsidP="00121D82">
      <w:pPr>
        <w:pStyle w:val="a4"/>
        <w:snapToGrid/>
        <w:spacing w:line="360" w:lineRule="auto"/>
        <w:ind w:firstLineChars="200" w:firstLine="480"/>
        <w:rPr>
          <w:rFonts w:ascii="宋体" w:hAnsi="宋体" w:cs="宋体"/>
          <w:kern w:val="0"/>
          <w:sz w:val="24"/>
          <w:shd w:val="clear" w:color="auto" w:fill="FFFFFF"/>
        </w:rPr>
      </w:pPr>
      <w:r w:rsidRPr="00121D82">
        <w:rPr>
          <w:rFonts w:ascii="宋体" w:hAnsi="宋体" w:cs="宋体" w:hint="eastAsia"/>
          <w:kern w:val="0"/>
          <w:sz w:val="24"/>
          <w:shd w:val="clear" w:color="auto" w:fill="FFFFFF"/>
        </w:rPr>
        <w:t>[3]</w:t>
      </w:r>
      <w:r w:rsidRPr="00121D82">
        <w:rPr>
          <w:rFonts w:ascii="宋体" w:hAnsi="宋体" w:cs="宋体" w:hint="eastAsia"/>
          <w:sz w:val="24"/>
        </w:rPr>
        <w:t>谢鹏程.行政执法检察监督论[M].北京:中国检察出版社,2016.</w:t>
      </w:r>
    </w:p>
    <w:p w:rsidR="009552A9" w:rsidRPr="00121D82" w:rsidRDefault="004F2EDB" w:rsidP="00121D82">
      <w:pPr>
        <w:tabs>
          <w:tab w:val="left" w:pos="2515"/>
        </w:tabs>
        <w:spacing w:line="360" w:lineRule="auto"/>
        <w:ind w:firstLineChars="200" w:firstLine="482"/>
        <w:rPr>
          <w:rFonts w:ascii="宋体" w:hAnsi="宋体" w:cs="宋体"/>
          <w:b/>
          <w:bCs/>
          <w:kern w:val="0"/>
          <w:sz w:val="24"/>
          <w:shd w:val="clear" w:color="auto" w:fill="FFFFFF"/>
        </w:rPr>
      </w:pPr>
      <w:r w:rsidRPr="00121D82"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  <w:t>（2）论文类：</w:t>
      </w:r>
    </w:p>
    <w:p w:rsidR="009552A9" w:rsidRPr="00121D82" w:rsidRDefault="00121D82">
      <w:pPr>
        <w:spacing w:line="360" w:lineRule="auto"/>
        <w:rPr>
          <w:rFonts w:ascii="宋体" w:hAnsi="宋体" w:cs="宋体"/>
          <w:sz w:val="24"/>
        </w:rPr>
      </w:pPr>
      <w:r w:rsidRPr="00121D82">
        <w:rPr>
          <w:rFonts w:ascii="宋体" w:hAnsi="宋体" w:cs="宋体" w:hint="eastAsia"/>
          <w:kern w:val="0"/>
          <w:sz w:val="24"/>
          <w:shd w:val="clear" w:color="auto" w:fill="FFFFFF"/>
        </w:rPr>
        <w:t xml:space="preserve">    </w:t>
      </w:r>
      <w:r w:rsidR="004F2EDB" w:rsidRPr="00121D82">
        <w:rPr>
          <w:rFonts w:ascii="宋体" w:hAnsi="宋体" w:cs="宋体" w:hint="eastAsia"/>
          <w:kern w:val="0"/>
          <w:sz w:val="24"/>
          <w:shd w:val="clear" w:color="auto" w:fill="FFFFFF"/>
        </w:rPr>
        <w:t>[1]</w:t>
      </w:r>
      <w:r w:rsidR="00BB7D23">
        <w:rPr>
          <w:rFonts w:ascii="宋体" w:hAnsi="宋体" w:cs="宋体" w:hint="eastAsia"/>
          <w:sz w:val="24"/>
        </w:rPr>
        <w:t>杨解君,</w:t>
      </w:r>
      <w:r w:rsidR="004F2EDB" w:rsidRPr="00121D82">
        <w:rPr>
          <w:rFonts w:ascii="宋体" w:hAnsi="宋体" w:cs="宋体" w:hint="eastAsia"/>
          <w:sz w:val="24"/>
        </w:rPr>
        <w:t>李俊宏.公益诉讼试点的若干重大实践问题探讨[J].行政法学研究,2016,(4).</w:t>
      </w:r>
    </w:p>
    <w:p w:rsidR="009552A9" w:rsidRPr="00121D82" w:rsidRDefault="004F2EDB" w:rsidP="00121D8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121D82">
        <w:rPr>
          <w:rFonts w:ascii="宋体" w:hAnsi="宋体" w:cs="宋体" w:hint="eastAsia"/>
          <w:kern w:val="0"/>
          <w:sz w:val="24"/>
          <w:shd w:val="clear" w:color="auto" w:fill="FFFFFF"/>
        </w:rPr>
        <w:t>[2]</w:t>
      </w:r>
      <w:r w:rsidR="00BB7D23">
        <w:rPr>
          <w:rFonts w:ascii="宋体" w:hAnsi="宋体" w:cs="宋体" w:hint="eastAsia"/>
          <w:sz w:val="24"/>
        </w:rPr>
        <w:t>胡卫列,</w:t>
      </w:r>
      <w:r w:rsidRPr="00121D82">
        <w:rPr>
          <w:rFonts w:ascii="宋体" w:hAnsi="宋体" w:cs="宋体" w:hint="eastAsia"/>
          <w:sz w:val="24"/>
        </w:rPr>
        <w:t>田凯.检察机关提起行政公益诉讼试点情况研究[J].行政法学研究,2017,(2).</w:t>
      </w:r>
    </w:p>
    <w:p w:rsidR="009552A9" w:rsidRDefault="004F2EDB" w:rsidP="00121D82">
      <w:pPr>
        <w:pStyle w:val="a4"/>
        <w:snapToGrid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121D82">
        <w:rPr>
          <w:rFonts w:ascii="宋体" w:hAnsi="宋体" w:cs="宋体" w:hint="eastAsia"/>
          <w:kern w:val="0"/>
          <w:sz w:val="24"/>
          <w:shd w:val="clear" w:color="auto" w:fill="FFFFFF"/>
        </w:rPr>
        <w:t>[3]</w:t>
      </w:r>
      <w:r w:rsidRPr="00121D82">
        <w:rPr>
          <w:rFonts w:ascii="宋体" w:hAnsi="宋体" w:cs="宋体" w:hint="eastAsia"/>
          <w:sz w:val="24"/>
        </w:rPr>
        <w:t>刘艺.检察公益诉讼的司法实践与理论探索[J].国家检察官学院学报,2017,(2).</w:t>
      </w:r>
    </w:p>
    <w:p w:rsidR="00D43409" w:rsidRDefault="00D43409" w:rsidP="00121D82">
      <w:pPr>
        <w:pStyle w:val="a4"/>
        <w:snapToGrid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[4]张三.行政公益诉讼研究[D].某某大学硕士学位论文，2017.</w:t>
      </w:r>
    </w:p>
    <w:p w:rsidR="00D43409" w:rsidRPr="00D43409" w:rsidRDefault="00D43409" w:rsidP="00121D82">
      <w:pPr>
        <w:pStyle w:val="a4"/>
        <w:snapToGrid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[5]李四.行政公益诉讼研究[D].某某大学博士学位论文，2017.</w:t>
      </w:r>
    </w:p>
    <w:p w:rsidR="009552A9" w:rsidRPr="00121D82" w:rsidRDefault="004F2EDB" w:rsidP="00121D82">
      <w:pPr>
        <w:tabs>
          <w:tab w:val="left" w:pos="2515"/>
        </w:tabs>
        <w:spacing w:line="360" w:lineRule="auto"/>
        <w:ind w:firstLineChars="200" w:firstLine="482"/>
        <w:rPr>
          <w:rFonts w:ascii="宋体" w:hAnsi="宋体" w:cs="宋体"/>
          <w:b/>
          <w:bCs/>
          <w:kern w:val="0"/>
          <w:sz w:val="24"/>
          <w:shd w:val="clear" w:color="auto" w:fill="FFFFFF"/>
        </w:rPr>
      </w:pPr>
      <w:r w:rsidRPr="00121D82"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  <w:t>（3）报纸类：</w:t>
      </w:r>
    </w:p>
    <w:p w:rsidR="009552A9" w:rsidRPr="00121D82" w:rsidRDefault="004F2EDB" w:rsidP="00121D8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121D82">
        <w:rPr>
          <w:rFonts w:ascii="宋体" w:hAnsi="宋体" w:cs="宋体" w:hint="eastAsia"/>
          <w:sz w:val="24"/>
        </w:rPr>
        <w:t>[1]谢鹏程.如何认识检察机关在公益诉讼中的地位[N].检察日报,2016-12-11.</w:t>
      </w:r>
    </w:p>
    <w:p w:rsidR="009552A9" w:rsidRPr="00121D82" w:rsidRDefault="004F2EDB" w:rsidP="00121D8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121D82">
        <w:rPr>
          <w:rFonts w:ascii="宋体" w:hAnsi="宋体" w:cs="宋体" w:hint="eastAsia"/>
          <w:sz w:val="24"/>
        </w:rPr>
        <w:t>[2]万进福.行政公益诉讼中的举证责任[N].人民法院报,2017-9-27.</w:t>
      </w:r>
    </w:p>
    <w:sectPr w:rsidR="009552A9" w:rsidRPr="00121D82" w:rsidSect="009552A9">
      <w:footerReference w:type="default" r:id="rId10"/>
      <w:footnotePr>
        <w:numFmt w:val="decimalEnclosedCircleChinese"/>
        <w:numRestart w:val="eachPage"/>
      </w:footnotePr>
      <w:pgSz w:w="11849" w:h="16781"/>
      <w:pgMar w:top="1134" w:right="1134" w:bottom="1701" w:left="1701" w:header="851" w:footer="992" w:gutter="0"/>
      <w:cols w:space="72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B2F" w:rsidRDefault="00F20B2F" w:rsidP="009552A9">
      <w:r>
        <w:separator/>
      </w:r>
    </w:p>
  </w:endnote>
  <w:endnote w:type="continuationSeparator" w:id="1">
    <w:p w:rsidR="00F20B2F" w:rsidRDefault="00F20B2F" w:rsidP="00955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2A9" w:rsidRDefault="0024566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9552A9" w:rsidRDefault="0024566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4F2ED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7319A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B2F" w:rsidRDefault="00F20B2F" w:rsidP="009552A9">
      <w:r>
        <w:separator/>
      </w:r>
    </w:p>
  </w:footnote>
  <w:footnote w:type="continuationSeparator" w:id="1">
    <w:p w:rsidR="00F20B2F" w:rsidRDefault="00F20B2F" w:rsidP="009552A9">
      <w:r>
        <w:continuationSeparator/>
      </w:r>
    </w:p>
  </w:footnote>
  <w:footnote w:id="2">
    <w:p w:rsidR="009552A9" w:rsidRDefault="004F2EDB">
      <w:pPr>
        <w:pStyle w:val="a4"/>
      </w:pPr>
      <w:r>
        <w:rPr>
          <w:rStyle w:val="a7"/>
        </w:rPr>
        <w:footnoteRef/>
      </w:r>
      <w:r w:rsidR="003F4AF3"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刘善春.行政诉讼举证责任分配规则论纲[J].中国法学,2003,(3):46.</w:t>
      </w:r>
    </w:p>
  </w:footnote>
  <w:footnote w:id="3">
    <w:p w:rsidR="009552A9" w:rsidRDefault="004F2EDB">
      <w:pPr>
        <w:pStyle w:val="a4"/>
      </w:pPr>
      <w:r>
        <w:rPr>
          <w:rStyle w:val="a7"/>
        </w:rPr>
        <w:footnoteRef/>
      </w:r>
      <w:r w:rsidR="0098688E"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t>参见卞建林，谭世贵.证据法学[M].北京:中国政法大学出版社,2014:436.</w:t>
      </w:r>
    </w:p>
  </w:footnote>
  <w:footnote w:id="4">
    <w:p w:rsidR="009552A9" w:rsidRDefault="004F2EDB">
      <w:pPr>
        <w:pStyle w:val="a4"/>
        <w:rPr>
          <w:rFonts w:ascii="宋体" w:hAnsi="宋体" w:cs="宋体"/>
        </w:rPr>
      </w:pPr>
      <w:r>
        <w:rPr>
          <w:rStyle w:val="a7"/>
        </w:rPr>
        <w:footnoteRef/>
      </w:r>
      <w:r w:rsidR="0098688E">
        <w:rPr>
          <w:rFonts w:hint="eastAsia"/>
        </w:rPr>
        <w:t xml:space="preserve"> </w:t>
      </w:r>
      <w:r>
        <w:rPr>
          <w:rFonts w:hint="eastAsia"/>
        </w:rPr>
        <w:t>参见</w:t>
      </w:r>
      <w:r>
        <w:rPr>
          <w:rFonts w:ascii="宋体" w:hAnsi="宋体" w:cs="宋体" w:hint="eastAsia"/>
        </w:rPr>
        <w:t>万进福.行政公益诉讼中的举证责任[N].人民法院报,2017-9-27(6).</w:t>
      </w:r>
    </w:p>
  </w:footnote>
  <w:footnote w:id="5">
    <w:p w:rsidR="005419B1" w:rsidRDefault="005419B1" w:rsidP="005419B1">
      <w:pPr>
        <w:pStyle w:val="a4"/>
      </w:pPr>
      <w:r>
        <w:rPr>
          <w:rStyle w:val="a7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参见</w:t>
      </w:r>
      <w:r>
        <w:rPr>
          <w:rFonts w:ascii="宋体" w:hAnsi="宋体" w:cs="宋体" w:hint="eastAsia"/>
          <w:szCs w:val="18"/>
        </w:rPr>
        <w:t>《中华人民共和国行政诉讼法》第25条。</w:t>
      </w:r>
    </w:p>
  </w:footnote>
  <w:footnote w:id="6">
    <w:p w:rsidR="009552A9" w:rsidRDefault="004F2EDB">
      <w:pPr>
        <w:pStyle w:val="a4"/>
      </w:pPr>
      <w:r>
        <w:rPr>
          <w:rStyle w:val="a7"/>
        </w:rPr>
        <w:footnoteRef/>
      </w:r>
      <w:r w:rsidR="005419B1">
        <w:rPr>
          <w:rFonts w:hint="eastAsia"/>
        </w:rPr>
        <w:t xml:space="preserve"> </w:t>
      </w:r>
      <w:r>
        <w:rPr>
          <w:rFonts w:hint="eastAsia"/>
        </w:rPr>
        <w:t>参见</w:t>
      </w:r>
      <w:r w:rsidR="005419B1">
        <w:rPr>
          <w:rFonts w:ascii="宋体" w:hAnsi="宋体" w:cs="宋体" w:hint="eastAsia"/>
          <w:szCs w:val="18"/>
        </w:rPr>
        <w:t>《最高人民法院关于适用&lt;中华人民共和国行政诉讼法&gt;</w:t>
      </w:r>
      <w:r w:rsidR="005419B1" w:rsidRPr="005419B1">
        <w:rPr>
          <w:rFonts w:ascii="宋体" w:hAnsi="宋体" w:cs="宋体" w:hint="eastAsia"/>
          <w:szCs w:val="18"/>
        </w:rPr>
        <w:t>的解释</w:t>
      </w:r>
      <w:r>
        <w:rPr>
          <w:rFonts w:ascii="宋体" w:hAnsi="宋体" w:cs="宋体" w:hint="eastAsia"/>
          <w:szCs w:val="18"/>
        </w:rPr>
        <w:t>》</w:t>
      </w:r>
      <w:r w:rsidR="005419B1">
        <w:rPr>
          <w:rFonts w:ascii="宋体" w:hAnsi="宋体" w:cs="宋体" w:hint="eastAsia"/>
          <w:szCs w:val="18"/>
        </w:rPr>
        <w:t>（</w:t>
      </w:r>
      <w:r w:rsidR="005419B1" w:rsidRPr="005419B1">
        <w:rPr>
          <w:rFonts w:ascii="宋体" w:hAnsi="宋体" w:cs="宋体" w:hint="eastAsia"/>
          <w:szCs w:val="18"/>
        </w:rPr>
        <w:t>法释〔2018〕1号</w:t>
      </w:r>
      <w:r w:rsidR="005419B1">
        <w:rPr>
          <w:rFonts w:ascii="宋体" w:hAnsi="宋体" w:cs="宋体" w:hint="eastAsia"/>
          <w:szCs w:val="18"/>
        </w:rPr>
        <w:t>）第6条</w:t>
      </w:r>
      <w:r>
        <w:rPr>
          <w:rFonts w:ascii="宋体" w:hAnsi="宋体" w:cs="宋体" w:hint="eastAsia"/>
          <w:szCs w:val="18"/>
        </w:rPr>
        <w:t>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97505"/>
    <w:multiLevelType w:val="singleLevel"/>
    <w:tmpl w:val="5AC9750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F79E6A"/>
    <w:multiLevelType w:val="singleLevel"/>
    <w:tmpl w:val="5AF79E6A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1"/>
    </o:shapelayout>
  </w:hdrShapeDefaults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2A9"/>
    <w:rsid w:val="0005374F"/>
    <w:rsid w:val="0007319A"/>
    <w:rsid w:val="00121D82"/>
    <w:rsid w:val="00245663"/>
    <w:rsid w:val="0028336F"/>
    <w:rsid w:val="002A77E4"/>
    <w:rsid w:val="0038664B"/>
    <w:rsid w:val="003F4AF3"/>
    <w:rsid w:val="00430259"/>
    <w:rsid w:val="004631B0"/>
    <w:rsid w:val="004E229D"/>
    <w:rsid w:val="004F2EDB"/>
    <w:rsid w:val="00502490"/>
    <w:rsid w:val="00521701"/>
    <w:rsid w:val="005419B1"/>
    <w:rsid w:val="00607A61"/>
    <w:rsid w:val="006C7F0D"/>
    <w:rsid w:val="007D083E"/>
    <w:rsid w:val="008056E2"/>
    <w:rsid w:val="009552A9"/>
    <w:rsid w:val="0098688E"/>
    <w:rsid w:val="00AD0611"/>
    <w:rsid w:val="00AD291A"/>
    <w:rsid w:val="00BB4F79"/>
    <w:rsid w:val="00BB7D23"/>
    <w:rsid w:val="00C035DD"/>
    <w:rsid w:val="00CD6BE8"/>
    <w:rsid w:val="00D43409"/>
    <w:rsid w:val="00D815A2"/>
    <w:rsid w:val="00D86B03"/>
    <w:rsid w:val="00F20B2F"/>
    <w:rsid w:val="00FA4739"/>
    <w:rsid w:val="01073CB8"/>
    <w:rsid w:val="052D554A"/>
    <w:rsid w:val="05FC0254"/>
    <w:rsid w:val="075C6945"/>
    <w:rsid w:val="081E2FF2"/>
    <w:rsid w:val="0843293D"/>
    <w:rsid w:val="0A892DCC"/>
    <w:rsid w:val="0BB24BF1"/>
    <w:rsid w:val="0BD33AFD"/>
    <w:rsid w:val="0C42498B"/>
    <w:rsid w:val="0EA723AE"/>
    <w:rsid w:val="10091E31"/>
    <w:rsid w:val="1107747C"/>
    <w:rsid w:val="111211D4"/>
    <w:rsid w:val="13AC2B3B"/>
    <w:rsid w:val="15F3397C"/>
    <w:rsid w:val="18F94754"/>
    <w:rsid w:val="1B921C9A"/>
    <w:rsid w:val="1BA1435A"/>
    <w:rsid w:val="274D2994"/>
    <w:rsid w:val="27EA7198"/>
    <w:rsid w:val="280F5793"/>
    <w:rsid w:val="2AFC56EA"/>
    <w:rsid w:val="2B0C345F"/>
    <w:rsid w:val="2B381FF4"/>
    <w:rsid w:val="2D6E6C2E"/>
    <w:rsid w:val="316868B7"/>
    <w:rsid w:val="348B296E"/>
    <w:rsid w:val="36AE3FF5"/>
    <w:rsid w:val="380127CC"/>
    <w:rsid w:val="3B313240"/>
    <w:rsid w:val="3BBD1AC0"/>
    <w:rsid w:val="40646665"/>
    <w:rsid w:val="423770DA"/>
    <w:rsid w:val="43007B9E"/>
    <w:rsid w:val="44183F49"/>
    <w:rsid w:val="44E01BA1"/>
    <w:rsid w:val="4758051E"/>
    <w:rsid w:val="48C62362"/>
    <w:rsid w:val="492D27D8"/>
    <w:rsid w:val="4A5B5967"/>
    <w:rsid w:val="4C7D1FC5"/>
    <w:rsid w:val="4CA049C2"/>
    <w:rsid w:val="4DDE758D"/>
    <w:rsid w:val="4E707332"/>
    <w:rsid w:val="50485BED"/>
    <w:rsid w:val="53545248"/>
    <w:rsid w:val="53682379"/>
    <w:rsid w:val="536D3D33"/>
    <w:rsid w:val="538F2485"/>
    <w:rsid w:val="54007C2E"/>
    <w:rsid w:val="57353DE2"/>
    <w:rsid w:val="598972D2"/>
    <w:rsid w:val="5FBD2A21"/>
    <w:rsid w:val="5FE1340B"/>
    <w:rsid w:val="60DB4BE3"/>
    <w:rsid w:val="678518D1"/>
    <w:rsid w:val="679C4FB4"/>
    <w:rsid w:val="68F12CB9"/>
    <w:rsid w:val="6C825A67"/>
    <w:rsid w:val="6CB660FD"/>
    <w:rsid w:val="6DE56162"/>
    <w:rsid w:val="70A0055D"/>
    <w:rsid w:val="72084DA8"/>
    <w:rsid w:val="74887569"/>
    <w:rsid w:val="75304A55"/>
    <w:rsid w:val="76193CA9"/>
    <w:rsid w:val="7644373B"/>
    <w:rsid w:val="76501908"/>
    <w:rsid w:val="78AC208A"/>
    <w:rsid w:val="79082FC6"/>
    <w:rsid w:val="7A7A3C0B"/>
    <w:rsid w:val="7D1B4FE0"/>
    <w:rsid w:val="7FCA5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footnote text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2A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552A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footnote text"/>
    <w:basedOn w:val="a"/>
    <w:qFormat/>
    <w:rsid w:val="009552A9"/>
    <w:pPr>
      <w:snapToGrid w:val="0"/>
      <w:jc w:val="left"/>
    </w:pPr>
    <w:rPr>
      <w:sz w:val="18"/>
    </w:rPr>
  </w:style>
  <w:style w:type="paragraph" w:styleId="a5">
    <w:name w:val="Normal (Web)"/>
    <w:basedOn w:val="a"/>
    <w:rsid w:val="009552A9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9552A9"/>
    <w:rPr>
      <w:b/>
    </w:rPr>
  </w:style>
  <w:style w:type="character" w:styleId="a7">
    <w:name w:val="footnote reference"/>
    <w:basedOn w:val="a0"/>
    <w:qFormat/>
    <w:rsid w:val="009552A9"/>
    <w:rPr>
      <w:vertAlign w:val="superscript"/>
    </w:rPr>
  </w:style>
  <w:style w:type="paragraph" w:styleId="a8">
    <w:name w:val="header"/>
    <w:basedOn w:val="a"/>
    <w:link w:val="Char"/>
    <w:rsid w:val="00FA4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FA4739"/>
    <w:rPr>
      <w:rFonts w:ascii="Calibri" w:eastAsia="宋体" w:hAnsi="Calibri" w:cs="Times New Roman"/>
      <w:kern w:val="2"/>
      <w:sz w:val="18"/>
      <w:szCs w:val="18"/>
    </w:rPr>
  </w:style>
  <w:style w:type="paragraph" w:styleId="1">
    <w:name w:val="toc 1"/>
    <w:basedOn w:val="a"/>
    <w:next w:val="a"/>
    <w:qFormat/>
    <w:rsid w:val="00FA4739"/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dell-99</dc:creator>
  <cp:lastModifiedBy>thtf</cp:lastModifiedBy>
  <cp:revision>13</cp:revision>
  <dcterms:created xsi:type="dcterms:W3CDTF">2014-10-29T12:08:00Z</dcterms:created>
  <dcterms:modified xsi:type="dcterms:W3CDTF">2019-05-19T02:41:00Z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